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10" w:rsidRPr="00BA5E65" w:rsidRDefault="00D97610" w:rsidP="00D97610">
      <w:pPr>
        <w:spacing w:after="0" w:line="240" w:lineRule="auto"/>
        <w:ind w:firstLine="623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D97610" w:rsidRPr="00BA5E65" w:rsidRDefault="00D97610" w:rsidP="00D97610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7610" w:rsidRPr="008C2B77" w:rsidRDefault="00D97610" w:rsidP="00D97610">
      <w:pPr>
        <w:spacing w:after="0" w:line="240" w:lineRule="auto"/>
        <w:ind w:left="1416" w:firstLine="3829"/>
        <w:jc w:val="right"/>
        <w:rPr>
          <w:rFonts w:ascii="Times New Roman" w:hAnsi="Times New Roman" w:cs="Times New Roman"/>
          <w:sz w:val="24"/>
          <w:szCs w:val="24"/>
        </w:rPr>
      </w:pPr>
      <w:r w:rsidRPr="008C2B77">
        <w:rPr>
          <w:rFonts w:ascii="Times New Roman" w:hAnsi="Times New Roman" w:cs="Times New Roman"/>
          <w:sz w:val="24"/>
          <w:szCs w:val="24"/>
        </w:rPr>
        <w:t xml:space="preserve">Paris, le </w:t>
      </w:r>
      <w:r w:rsidR="005F58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janvier</w:t>
      </w:r>
      <w:r w:rsidRPr="008C2B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97610" w:rsidRPr="00BA5E65" w:rsidRDefault="00D97610" w:rsidP="00D976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610" w:rsidRPr="001C7B67" w:rsidRDefault="00D97610" w:rsidP="00D97610">
      <w:pPr>
        <w:pStyle w:val="NormalWeb"/>
        <w:jc w:val="both"/>
        <w:rPr>
          <w:b/>
          <w:color w:val="000000"/>
          <w:sz w:val="16"/>
          <w:szCs w:val="16"/>
        </w:rPr>
      </w:pPr>
    </w:p>
    <w:p w:rsidR="00D97610" w:rsidRDefault="00D97610" w:rsidP="00D976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97610" w:rsidRPr="00210C32" w:rsidRDefault="00D97610" w:rsidP="00D976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0C32">
        <w:rPr>
          <w:rFonts w:asciiTheme="minorHAnsi" w:hAnsiTheme="minorHAnsi" w:cstheme="minorHAnsi"/>
          <w:bCs/>
          <w:color w:val="000000"/>
          <w:sz w:val="28"/>
          <w:szCs w:val="28"/>
        </w:rPr>
        <w:t>Communiqué de presse</w:t>
      </w:r>
    </w:p>
    <w:p w:rsidR="00D97610" w:rsidRPr="00210C32" w:rsidRDefault="00D97610" w:rsidP="00D976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D97610" w:rsidRDefault="00D97610" w:rsidP="00D976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Réforme des retraites : les points d’alerte des employeurs territoriaux pour les collectivités et leurs agents </w:t>
      </w:r>
    </w:p>
    <w:p w:rsidR="00D97610" w:rsidRPr="005035C3" w:rsidRDefault="00D97610" w:rsidP="00D976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97610" w:rsidRPr="001C7B67" w:rsidRDefault="00D97610" w:rsidP="00D97610">
      <w:pPr>
        <w:rPr>
          <w:sz w:val="16"/>
          <w:szCs w:val="16"/>
        </w:rPr>
      </w:pPr>
    </w:p>
    <w:p w:rsidR="00D97610" w:rsidRPr="001C7B67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10 janvier 2023, le Gouvernement présentera son projet de réforme des retraites.</w:t>
      </w: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cadre des consultations engagées par le Gouvernement concernant le projet de projet de réforme des retraites, la Coordination des employeurs territoriaux, qui représente 2 millions d’agents publics, </w:t>
      </w:r>
      <w:proofErr w:type="gramStart"/>
      <w:r w:rsidR="005F58C4">
        <w:rPr>
          <w:rFonts w:ascii="Times New Roman" w:hAnsi="Times New Roman" w:cs="Times New Roman"/>
          <w:sz w:val="24"/>
          <w:szCs w:val="24"/>
        </w:rPr>
        <w:t>a  transmis</w:t>
      </w:r>
      <w:proofErr w:type="gramEnd"/>
      <w:r w:rsidR="005F5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une contribution présentant </w:t>
      </w:r>
      <w:r w:rsidRPr="001C437C">
        <w:rPr>
          <w:rFonts w:ascii="Times New Roman" w:hAnsi="Times New Roman" w:cs="Times New Roman"/>
          <w:sz w:val="24"/>
          <w:szCs w:val="24"/>
        </w:rPr>
        <w:t>ce qu’elle considère comme des points d’attention majeurs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74E31">
        <w:rPr>
          <w:rFonts w:ascii="Times New Roman" w:hAnsi="Times New Roman" w:cs="Times New Roman"/>
          <w:b/>
          <w:bCs/>
          <w:sz w:val="24"/>
          <w:szCs w:val="24"/>
        </w:rPr>
        <w:t xml:space="preserve">ans préjuger de l’opinion que chaque employeur territorial peut porter sur </w:t>
      </w:r>
      <w:r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Pr="00674E31">
        <w:rPr>
          <w:rFonts w:ascii="Times New Roman" w:hAnsi="Times New Roman" w:cs="Times New Roman"/>
          <w:b/>
          <w:bCs/>
          <w:sz w:val="24"/>
          <w:szCs w:val="24"/>
        </w:rPr>
        <w:t>opportunité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cette réforme</w:t>
      </w:r>
      <w:r w:rsidRPr="00671C1B">
        <w:rPr>
          <w:rFonts w:ascii="Times New Roman" w:hAnsi="Times New Roman" w:cs="Times New Roman"/>
          <w:b/>
          <w:bCs/>
          <w:sz w:val="24"/>
          <w:szCs w:val="24"/>
        </w:rPr>
        <w:t xml:space="preserve">, la Coordination des employeurs territoriaux </w:t>
      </w:r>
      <w:r>
        <w:rPr>
          <w:rFonts w:ascii="Times New Roman" w:hAnsi="Times New Roman" w:cs="Times New Roman"/>
          <w:b/>
          <w:bCs/>
          <w:sz w:val="24"/>
          <w:szCs w:val="24"/>
        </w:rPr>
        <w:t>souhaite,</w:t>
      </w:r>
      <w:r w:rsidRPr="00671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 travers de cette contribution, avant tout souligner </w:t>
      </w:r>
      <w:r w:rsidRPr="008A3C1B">
        <w:rPr>
          <w:rFonts w:ascii="Times New Roman" w:hAnsi="Times New Roman" w:cs="Times New Roman"/>
          <w:b/>
          <w:bCs/>
          <w:sz w:val="24"/>
          <w:szCs w:val="24"/>
        </w:rPr>
        <w:t xml:space="preserve">que toute réforme conduisant à maintenir plus longtemps en position d’activité des agents exposés à la pénibilité voire des agents déjà en situation d’invalidité représente un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double </w:t>
      </w:r>
      <w:r w:rsidRPr="008A3C1B">
        <w:rPr>
          <w:rFonts w:ascii="Times New Roman" w:hAnsi="Times New Roman" w:cs="Times New Roman"/>
          <w:b/>
          <w:bCs/>
          <w:sz w:val="24"/>
          <w:szCs w:val="24"/>
        </w:rPr>
        <w:t>défi pour les collectivités territoriales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Default="00D97610" w:rsidP="00D9761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C32">
        <w:rPr>
          <w:rFonts w:ascii="Times New Roman" w:hAnsi="Times New Roman" w:cs="Times New Roman"/>
          <w:b/>
          <w:bCs/>
          <w:sz w:val="24"/>
          <w:szCs w:val="24"/>
        </w:rPr>
        <w:t>celui</w:t>
      </w:r>
      <w:proofErr w:type="gramEnd"/>
      <w:r w:rsidRPr="00210C32">
        <w:rPr>
          <w:rFonts w:ascii="Times New Roman" w:hAnsi="Times New Roman" w:cs="Times New Roman"/>
          <w:b/>
          <w:bCs/>
          <w:sz w:val="24"/>
          <w:szCs w:val="24"/>
        </w:rPr>
        <w:t xml:space="preserve"> de prévenir</w:t>
      </w:r>
      <w:r w:rsidRPr="007D7CFC">
        <w:rPr>
          <w:rFonts w:ascii="Times New Roman" w:hAnsi="Times New Roman" w:cs="Times New Roman"/>
          <w:sz w:val="24"/>
          <w:szCs w:val="24"/>
        </w:rPr>
        <w:t xml:space="preserve">, par une gestion dynamique des ressources humaines, </w:t>
      </w:r>
      <w:r w:rsidRPr="00210C32">
        <w:rPr>
          <w:rFonts w:ascii="Times New Roman" w:hAnsi="Times New Roman" w:cs="Times New Roman"/>
          <w:b/>
          <w:bCs/>
          <w:sz w:val="24"/>
          <w:szCs w:val="24"/>
        </w:rPr>
        <w:t>cette usure ou, sinon, à en tirer les conséquences par des mesures de reclassement et des dispositifs de transition professionnelle appropriés</w:t>
      </w:r>
      <w:r w:rsidRPr="00DA2124">
        <w:rPr>
          <w:rFonts w:ascii="Times New Roman" w:hAnsi="Times New Roman" w:cs="Times New Roman"/>
          <w:sz w:val="24"/>
          <w:szCs w:val="24"/>
        </w:rPr>
        <w:t> ;</w:t>
      </w:r>
    </w:p>
    <w:p w:rsidR="00D97610" w:rsidRDefault="00D97610" w:rsidP="00D9761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Pr="00D3318B" w:rsidRDefault="00D97610" w:rsidP="00D9761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C32">
        <w:rPr>
          <w:rFonts w:ascii="Times New Roman" w:hAnsi="Times New Roman" w:cs="Times New Roman"/>
          <w:b/>
          <w:bCs/>
          <w:sz w:val="24"/>
          <w:szCs w:val="24"/>
        </w:rPr>
        <w:t>celui</w:t>
      </w:r>
      <w:proofErr w:type="gramEnd"/>
      <w:r w:rsidRPr="00210C32">
        <w:rPr>
          <w:rFonts w:ascii="Times New Roman" w:hAnsi="Times New Roman" w:cs="Times New Roman"/>
          <w:b/>
          <w:bCs/>
          <w:sz w:val="24"/>
          <w:szCs w:val="24"/>
        </w:rPr>
        <w:t xml:space="preserve"> de faire face à ce qui constitue en réalité un transfert de charge assurantiel depuis les systèmes de retraite vers les collectivités territoriales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570">
        <w:rPr>
          <w:rFonts w:ascii="Times New Roman" w:hAnsi="Times New Roman" w:cs="Times New Roman"/>
          <w:bCs/>
          <w:sz w:val="24"/>
          <w:szCs w:val="24"/>
        </w:rPr>
        <w:t>qui devront mécaniquement supporter les couts induits par l’</w:t>
      </w:r>
      <w:r w:rsidRPr="00956570">
        <w:rPr>
          <w:rFonts w:ascii="Times New Roman" w:hAnsi="Times New Roman" w:cs="Times New Roman"/>
          <w:sz w:val="24"/>
          <w:szCs w:val="24"/>
        </w:rPr>
        <w:t>absentéisme, l’incapacité</w:t>
      </w:r>
      <w:r>
        <w:rPr>
          <w:rFonts w:ascii="Times New Roman" w:hAnsi="Times New Roman" w:cs="Times New Roman"/>
          <w:sz w:val="24"/>
          <w:szCs w:val="24"/>
        </w:rPr>
        <w:t xml:space="preserve"> et l</w:t>
      </w:r>
      <w:r w:rsidRPr="00D3318B">
        <w:rPr>
          <w:rFonts w:ascii="Times New Roman" w:hAnsi="Times New Roman" w:cs="Times New Roman"/>
          <w:sz w:val="24"/>
          <w:szCs w:val="24"/>
        </w:rPr>
        <w:t xml:space="preserve">’invalidité. </w:t>
      </w:r>
      <w:r>
        <w:rPr>
          <w:rFonts w:ascii="Times New Roman" w:hAnsi="Times New Roman" w:cs="Times New Roman"/>
          <w:sz w:val="24"/>
          <w:szCs w:val="24"/>
        </w:rPr>
        <w:t>Ce transfert serait d’autant moins négligeable que le versant territorial de la fonction publique se distingue par une part prépondérante (75 %) d’agents de catégorie C, plus exposés aux risques professionnels.</w:t>
      </w:r>
    </w:p>
    <w:p w:rsidR="00D97610" w:rsidRDefault="00D97610" w:rsidP="00D9761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Pr="00BE3CC0" w:rsidRDefault="00D97610" w:rsidP="00D9761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97610" w:rsidRPr="008F5A94" w:rsidRDefault="00D97610" w:rsidP="00D9761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Aussi, la Coordination des employeurs territoriaux tient à souligner qu’</w:t>
      </w:r>
      <w:r w:rsidRPr="00210C32">
        <w:rPr>
          <w:rFonts w:ascii="Times New Roman" w:hAnsi="Times New Roman" w:cs="Times New Roman"/>
          <w:b/>
          <w:bCs/>
          <w:sz w:val="24"/>
          <w:szCs w:val="24"/>
        </w:rPr>
        <w:t>il serait particulièrement trompeur d’appréhender une réforme des retraites</w:t>
      </w:r>
      <w:r w:rsidRPr="007D7CFC">
        <w:rPr>
          <w:rFonts w:ascii="Times New Roman" w:hAnsi="Times New Roman" w:cs="Times New Roman"/>
          <w:sz w:val="24"/>
          <w:szCs w:val="24"/>
        </w:rPr>
        <w:t xml:space="preserve">, s’agissant de son effet sur la protection sociale et les finances publiques, </w:t>
      </w:r>
      <w:r w:rsidRPr="00210C32">
        <w:rPr>
          <w:rFonts w:ascii="Times New Roman" w:hAnsi="Times New Roman" w:cs="Times New Roman"/>
          <w:b/>
          <w:bCs/>
          <w:sz w:val="24"/>
          <w:szCs w:val="24"/>
        </w:rPr>
        <w:t>uniquement du point de vue de l’équilibre nominal du système de retraites.</w:t>
      </w: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Ainsi, soucieux de l’enjeu que représente la prise en compte des risques d’usure professionnelle, les employeurs territoriaux soumettent 5 propositions au Gouvernement :</w:t>
      </w: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Pr="002677C7" w:rsidRDefault="00D97610" w:rsidP="00D976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1B">
        <w:rPr>
          <w:rFonts w:ascii="Times New Roman" w:hAnsi="Times New Roman" w:cs="Times New Roman"/>
          <w:b/>
          <w:bCs/>
          <w:sz w:val="24"/>
          <w:szCs w:val="24"/>
        </w:rPr>
        <w:t>Etendre les catégories dites « </w:t>
      </w:r>
      <w:r w:rsidRPr="008A3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actives</w:t>
      </w:r>
      <w:r w:rsidRPr="008A3C1B">
        <w:rPr>
          <w:rFonts w:ascii="Times New Roman" w:hAnsi="Times New Roman" w:cs="Times New Roman"/>
          <w:b/>
          <w:bCs/>
          <w:sz w:val="24"/>
          <w:szCs w:val="24"/>
        </w:rPr>
        <w:t xml:space="preserve"> » à d’autres métiers particulièrement exposés aux risques d’usure </w:t>
      </w:r>
      <w:r w:rsidRPr="002677C7">
        <w:rPr>
          <w:rFonts w:ascii="Times New Roman" w:hAnsi="Times New Roman" w:cs="Times New Roman"/>
          <w:sz w:val="24"/>
          <w:szCs w:val="24"/>
        </w:rPr>
        <w:t xml:space="preserve">et, </w:t>
      </w:r>
      <w:r w:rsidRPr="002677C7">
        <w:rPr>
          <w:rFonts w:ascii="Times New Roman" w:hAnsi="Times New Roman" w:cs="Times New Roman"/>
          <w:i/>
          <w:iCs/>
          <w:sz w:val="24"/>
          <w:szCs w:val="24"/>
        </w:rPr>
        <w:t>a minima</w:t>
      </w:r>
      <w:r w:rsidRPr="002677C7">
        <w:rPr>
          <w:rFonts w:ascii="Times New Roman" w:hAnsi="Times New Roman" w:cs="Times New Roman"/>
          <w:sz w:val="24"/>
          <w:szCs w:val="24"/>
        </w:rPr>
        <w:t>, procéder à une mise en cohérence entre versants et au sein de chaque cadre d’emplois ;</w:t>
      </w:r>
    </w:p>
    <w:p w:rsidR="00D97610" w:rsidRPr="005B017D" w:rsidRDefault="00D97610" w:rsidP="00D97610">
      <w:pPr>
        <w:spacing w:after="0"/>
        <w:rPr>
          <w:rFonts w:ascii="Segoe UI Symbol" w:hAnsi="Segoe UI Symbol"/>
          <w:b/>
          <w:bCs/>
        </w:rPr>
      </w:pPr>
    </w:p>
    <w:p w:rsidR="00D97610" w:rsidRPr="008B482F" w:rsidRDefault="00D97610" w:rsidP="00D976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1B">
        <w:rPr>
          <w:rFonts w:ascii="Times New Roman" w:hAnsi="Times New Roman" w:cs="Times New Roman"/>
          <w:b/>
          <w:bCs/>
          <w:sz w:val="24"/>
          <w:szCs w:val="24"/>
        </w:rPr>
        <w:t>Etendre la bonification dite du « </w:t>
      </w:r>
      <w:r w:rsidRPr="008A3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cinquième</w:t>
      </w:r>
      <w:r w:rsidRPr="008A3C1B">
        <w:rPr>
          <w:rFonts w:ascii="Times New Roman" w:hAnsi="Times New Roman" w:cs="Times New Roman"/>
          <w:b/>
          <w:bCs/>
          <w:sz w:val="24"/>
          <w:szCs w:val="24"/>
        </w:rPr>
        <w:t> » en prenant en compte la pénibilité des métiers au travers d’un dispositif inspiré du compte professionnel de prévention (C2P)</w:t>
      </w:r>
      <w:r>
        <w:rPr>
          <w:rFonts w:ascii="Times New Roman" w:hAnsi="Times New Roman" w:cs="Times New Roman"/>
          <w:sz w:val="24"/>
          <w:szCs w:val="24"/>
        </w:rPr>
        <w:t xml:space="preserve"> en vigueur dans le secteur privé, sur la base de critères plus larges, tenant compte des enjeux de pénibilité correspondant aux métiers territoriaux ;</w:t>
      </w:r>
    </w:p>
    <w:p w:rsidR="00D97610" w:rsidRPr="00AE2765" w:rsidRDefault="00D97610" w:rsidP="00D9761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Default="00D97610" w:rsidP="00D976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1B">
        <w:rPr>
          <w:rFonts w:ascii="Times New Roman" w:hAnsi="Times New Roman" w:cs="Times New Roman"/>
          <w:b/>
          <w:bCs/>
          <w:sz w:val="24"/>
          <w:szCs w:val="24"/>
        </w:rPr>
        <w:t>Renforcer les ressources au service d’une politique en matière de maintien dans l’emploi et de transition professionnelle</w:t>
      </w:r>
      <w:r w:rsidRPr="00A17763">
        <w:rPr>
          <w:rFonts w:ascii="Times New Roman" w:hAnsi="Times New Roman" w:cs="Times New Roman"/>
          <w:sz w:val="24"/>
          <w:szCs w:val="24"/>
        </w:rPr>
        <w:t xml:space="preserve"> face aux enjeux d’usure professionnelle au travers d’un nouveau dispositif de financement </w:t>
      </w:r>
      <w:r w:rsidRPr="00BA169E">
        <w:rPr>
          <w:rFonts w:ascii="Times New Roman" w:hAnsi="Times New Roman" w:cs="Times New Roman"/>
          <w:sz w:val="24"/>
          <w:szCs w:val="24"/>
        </w:rPr>
        <w:t>qui soit incitatif à la prévention des risques</w:t>
      </w:r>
      <w:r>
        <w:rPr>
          <w:rFonts w:ascii="Times New Roman" w:hAnsi="Times New Roman" w:cs="Times New Roman"/>
          <w:sz w:val="24"/>
          <w:szCs w:val="24"/>
        </w:rPr>
        <w:t xml:space="preserve"> ; </w:t>
      </w:r>
    </w:p>
    <w:p w:rsidR="00D97610" w:rsidRPr="0089578A" w:rsidRDefault="00D97610" w:rsidP="00D97610">
      <w:pPr>
        <w:pStyle w:val="Paragraphedeliste"/>
        <w:rPr>
          <w:b/>
          <w:bCs/>
        </w:rPr>
      </w:pPr>
    </w:p>
    <w:p w:rsidR="00D97610" w:rsidRPr="0089578A" w:rsidRDefault="00D97610" w:rsidP="00D976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1B">
        <w:rPr>
          <w:rFonts w:ascii="Times New Roman" w:hAnsi="Times New Roman" w:cs="Times New Roman"/>
          <w:b/>
          <w:bCs/>
          <w:sz w:val="24"/>
          <w:szCs w:val="24"/>
        </w:rPr>
        <w:t>Approfondir la mutualisation de la mise en œuvre des mobilités et reclassements entre versants de la fonction publique à l’échelle du bassin d’emplois</w:t>
      </w:r>
      <w:r w:rsidRPr="00DD041D">
        <w:rPr>
          <w:rFonts w:ascii="Times New Roman" w:hAnsi="Times New Roman" w:cs="Times New Roman"/>
          <w:sz w:val="24"/>
          <w:szCs w:val="24"/>
        </w:rPr>
        <w:t>,</w:t>
      </w:r>
      <w:r w:rsidRPr="0089578A">
        <w:rPr>
          <w:rFonts w:ascii="Times New Roman" w:hAnsi="Times New Roman" w:cs="Times New Roman"/>
          <w:sz w:val="24"/>
          <w:szCs w:val="24"/>
        </w:rPr>
        <w:t xml:space="preserve"> au-delà des missions déjà accomplies par les centres de gestion s’agissant du versant territorial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D97610" w:rsidRPr="0089578A" w:rsidRDefault="00D97610" w:rsidP="00D9761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Pr="00372C3A" w:rsidRDefault="00D97610" w:rsidP="00D976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1B">
        <w:rPr>
          <w:rFonts w:ascii="Times New Roman" w:hAnsi="Times New Roman" w:cs="Times New Roman"/>
          <w:b/>
          <w:bCs/>
          <w:sz w:val="24"/>
          <w:szCs w:val="24"/>
        </w:rPr>
        <w:t>Lever les freins susceptibles de décourager une diversification des parcours individuels et des mobilités</w:t>
      </w:r>
      <w:r w:rsidRPr="00372C3A">
        <w:rPr>
          <w:rFonts w:ascii="Times New Roman" w:hAnsi="Times New Roman" w:cs="Times New Roman"/>
          <w:sz w:val="24"/>
          <w:szCs w:val="24"/>
        </w:rPr>
        <w:t xml:space="preserve"> compte tenu des différences entre régimes, qui appelle une action sur la portabilité des droits, et ce alors que l’allongement de la durée d’activité va nécessairement accroître le nombre de « </w:t>
      </w:r>
      <w:proofErr w:type="spellStart"/>
      <w:r w:rsidRPr="00372C3A">
        <w:rPr>
          <w:rFonts w:ascii="Times New Roman" w:hAnsi="Times New Roman" w:cs="Times New Roman"/>
          <w:sz w:val="24"/>
          <w:szCs w:val="24"/>
        </w:rPr>
        <w:t>polypensionnés</w:t>
      </w:r>
      <w:proofErr w:type="spellEnd"/>
      <w:r w:rsidRPr="00372C3A">
        <w:rPr>
          <w:rFonts w:ascii="Times New Roman" w:hAnsi="Times New Roman" w:cs="Times New Roman"/>
          <w:sz w:val="24"/>
          <w:szCs w:val="24"/>
        </w:rPr>
        <w:t> ».</w:t>
      </w:r>
    </w:p>
    <w:p w:rsidR="00D97610" w:rsidRPr="00335A64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 travers de cette contribution, les employeurs territoriaux entendent</w:t>
      </w:r>
      <w:r w:rsidRPr="002B6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78A">
        <w:rPr>
          <w:rFonts w:ascii="Times New Roman" w:hAnsi="Times New Roman" w:cs="Times New Roman"/>
          <w:b/>
          <w:bCs/>
          <w:sz w:val="24"/>
          <w:szCs w:val="24"/>
        </w:rPr>
        <w:t>attirer l’attention sur les incidences d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9578A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9578A">
        <w:rPr>
          <w:rFonts w:ascii="Times New Roman" w:hAnsi="Times New Roman" w:cs="Times New Roman"/>
          <w:b/>
          <w:bCs/>
          <w:sz w:val="24"/>
          <w:szCs w:val="24"/>
        </w:rPr>
        <w:t xml:space="preserve"> projet de réforme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des retraites qui maintiendrait en activité prolongée les agents. Ils</w:t>
      </w:r>
      <w:r w:rsidRPr="0089578A">
        <w:rPr>
          <w:rFonts w:ascii="Times New Roman" w:hAnsi="Times New Roman" w:cs="Times New Roman"/>
          <w:b/>
          <w:bCs/>
          <w:sz w:val="24"/>
          <w:szCs w:val="24"/>
        </w:rPr>
        <w:t xml:space="preserve"> invite</w:t>
      </w:r>
      <w:r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Pr="0089578A">
        <w:rPr>
          <w:rFonts w:ascii="Times New Roman" w:hAnsi="Times New Roman" w:cs="Times New Roman"/>
          <w:b/>
          <w:bCs/>
          <w:sz w:val="24"/>
          <w:szCs w:val="24"/>
        </w:rPr>
        <w:t xml:space="preserve"> à appréhender </w:t>
      </w:r>
      <w:r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Pr="0089578A">
        <w:rPr>
          <w:rFonts w:ascii="Times New Roman" w:hAnsi="Times New Roman" w:cs="Times New Roman"/>
          <w:b/>
          <w:bCs/>
          <w:sz w:val="24"/>
          <w:szCs w:val="24"/>
        </w:rPr>
        <w:t>opportunité globale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cette réforme</w:t>
      </w:r>
      <w:r w:rsidRPr="0089578A">
        <w:rPr>
          <w:rFonts w:ascii="Times New Roman" w:hAnsi="Times New Roman" w:cs="Times New Roman"/>
          <w:b/>
          <w:bCs/>
          <w:sz w:val="24"/>
          <w:szCs w:val="24"/>
        </w:rPr>
        <w:t xml:space="preserve"> à l’aune de l’ensemble de ses effets induits et non de son seul impact attendu sur l’équilibre financier des régimes.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0" w:rsidRDefault="00D97610" w:rsidP="00D9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29" w:rsidRPr="005F58C4" w:rsidRDefault="00D97610" w:rsidP="005F5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991">
        <w:rPr>
          <w:rFonts w:ascii="Times New Roman" w:hAnsi="Times New Roman" w:cs="Times New Roman"/>
          <w:b/>
          <w:bCs/>
          <w:sz w:val="24"/>
          <w:szCs w:val="24"/>
        </w:rPr>
        <w:t>Contact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2991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541629" w:rsidRDefault="0054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Florennes</w:t>
      </w:r>
      <w:r w:rsidR="005F58C4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06 78 97 59 34</w:t>
      </w:r>
    </w:p>
    <w:p w:rsidR="00541629" w:rsidRDefault="00541629">
      <w:pPr>
        <w:rPr>
          <w:rFonts w:ascii="Times New Roman" w:hAnsi="Times New Roman" w:cs="Times New Roman"/>
          <w:sz w:val="24"/>
          <w:szCs w:val="24"/>
        </w:rPr>
      </w:pPr>
    </w:p>
    <w:p w:rsidR="00541629" w:rsidRPr="00541629" w:rsidRDefault="00541629">
      <w:pPr>
        <w:rPr>
          <w:rFonts w:ascii="Times New Roman" w:hAnsi="Times New Roman" w:cs="Times New Roman"/>
          <w:sz w:val="24"/>
          <w:szCs w:val="24"/>
        </w:rPr>
      </w:pPr>
    </w:p>
    <w:sectPr w:rsidR="00541629" w:rsidRPr="00541629" w:rsidSect="001D2CD7">
      <w:headerReference w:type="even" r:id="rId7"/>
      <w:headerReference w:type="default" r:id="rId8"/>
      <w:headerReference w:type="first" r:id="rId9"/>
      <w:pgSz w:w="11906" w:h="16838" w:code="9"/>
      <w:pgMar w:top="1134" w:right="1247" w:bottom="150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A5" w:rsidRDefault="003964A5">
      <w:pPr>
        <w:spacing w:after="0" w:line="240" w:lineRule="auto"/>
      </w:pPr>
      <w:r>
        <w:separator/>
      </w:r>
    </w:p>
  </w:endnote>
  <w:endnote w:type="continuationSeparator" w:id="0">
    <w:p w:rsidR="003964A5" w:rsidRDefault="0039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A5" w:rsidRDefault="003964A5">
      <w:pPr>
        <w:spacing w:after="0" w:line="240" w:lineRule="auto"/>
      </w:pPr>
      <w:r>
        <w:separator/>
      </w:r>
    </w:p>
  </w:footnote>
  <w:footnote w:type="continuationSeparator" w:id="0">
    <w:p w:rsidR="003964A5" w:rsidRDefault="0039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87" w:rsidRDefault="004C75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272532" o:spid="_x0000_s2050" type="#_x0000_t136" style="position:absolute;margin-left:0;margin-top:0;width:439.65pt;height:21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87" w:rsidRDefault="004C75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272533" o:spid="_x0000_s2051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D7" w:rsidRPr="00DF4872" w:rsidRDefault="004C752B" w:rsidP="001D2CD7">
    <w:pPr>
      <w:ind w:left="-567" w:right="-573"/>
      <w:jc w:val="center"/>
      <w:rPr>
        <w:b/>
        <w:sz w:val="48"/>
        <w:szCs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272531" o:spid="_x0000_s2049" type="#_x0000_t136" style="position:absolute;left:0;text-align:left;margin-left:0;margin-top:0;width:439.65pt;height:21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D97610" w:rsidRPr="00DF4872">
      <w:rPr>
        <w:b/>
        <w:sz w:val="48"/>
        <w:szCs w:val="48"/>
      </w:rPr>
      <w:t>Coordination des employeurs publics territoriaux</w:t>
    </w:r>
  </w:p>
  <w:p w:rsidR="001D2CD7" w:rsidRPr="008C2B77" w:rsidRDefault="00D97610" w:rsidP="008C2B77">
    <w:pPr>
      <w:ind w:left="-284" w:right="-284"/>
      <w:jc w:val="center"/>
      <w:rPr>
        <w:b/>
        <w:spacing w:val="-4"/>
        <w:sz w:val="24"/>
        <w:szCs w:val="24"/>
      </w:rPr>
    </w:pPr>
    <w:r w:rsidRPr="008C2B77">
      <w:rPr>
        <w:b/>
        <w:spacing w:val="-4"/>
        <w:sz w:val="24"/>
        <w:szCs w:val="24"/>
      </w:rPr>
      <w:t>AMF – AMRF – APVF – CNFPT – Départements de France – FNCDG – France urbaine – Intercommunalités de France – Régions de France – Villes de France – Collège employeurs du CSFPT</w:t>
    </w:r>
  </w:p>
  <w:p w:rsidR="001D2CD7" w:rsidRDefault="004C75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085"/>
    <w:multiLevelType w:val="hybridMultilevel"/>
    <w:tmpl w:val="5B22B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7CCB"/>
    <w:multiLevelType w:val="hybridMultilevel"/>
    <w:tmpl w:val="9828C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0"/>
    <w:rsid w:val="00265BD3"/>
    <w:rsid w:val="002811C6"/>
    <w:rsid w:val="002F79C6"/>
    <w:rsid w:val="003964A5"/>
    <w:rsid w:val="004C752B"/>
    <w:rsid w:val="00541629"/>
    <w:rsid w:val="005F58C4"/>
    <w:rsid w:val="00D97610"/>
    <w:rsid w:val="00D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BDE6D64-7A1C-4BBE-9C29-DA0B07E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61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En-tteCar">
    <w:name w:val="En-tête Car"/>
    <w:basedOn w:val="Policepardfaut"/>
    <w:link w:val="En-tte"/>
    <w:uiPriority w:val="99"/>
    <w:rsid w:val="00D97610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9761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9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66CFB006</Template>
  <TotalTime>1</TotalTime>
  <Pages>2</Pages>
  <Words>610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 La METTRIE</dc:creator>
  <cp:keywords/>
  <dc:description/>
  <cp:lastModifiedBy>RALLU Benedicte</cp:lastModifiedBy>
  <cp:revision>2</cp:revision>
  <dcterms:created xsi:type="dcterms:W3CDTF">2023-02-01T15:54:00Z</dcterms:created>
  <dcterms:modified xsi:type="dcterms:W3CDTF">2023-02-01T15:54:00Z</dcterms:modified>
</cp:coreProperties>
</file>